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53" w:rsidRDefault="006D303D" w:rsidP="006D303D">
      <w:pPr>
        <w:jc w:val="center"/>
      </w:pPr>
      <w:r>
        <w:t>Sports Premium Allocation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3"/>
        <w:gridCol w:w="1162"/>
      </w:tblGrid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jc w:val="center"/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8"/>
                <w:szCs w:val="28"/>
                <w:lang w:eastAsia="en-GB"/>
              </w:rPr>
              <w:t>B</w:t>
            </w:r>
            <w:r w:rsidRPr="006D303D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8"/>
                <w:szCs w:val="28"/>
                <w:lang w:eastAsia="en-GB"/>
              </w:rPr>
              <w:t>reakdown of spending 2019-2020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8"/>
                <w:szCs w:val="28"/>
                <w:lang w:eastAsia="en-GB"/>
              </w:rPr>
              <w:t>20,200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KPI1 - Engagement of all pupils in regular physical activity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Identification of inactive children in y3,4,5 through </w:t>
            </w:r>
            <w:proofErr w:type="spellStart"/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GymRun</w:t>
            </w:r>
            <w:proofErr w:type="spellEnd"/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 (3 visits across the year)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1575</w:t>
            </w:r>
          </w:p>
        </w:tc>
      </w:tr>
      <w:tr w:rsidR="006D303D" w:rsidTr="006D303D">
        <w:trPr>
          <w:trHeight w:val="995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Gym Training- 3.5 hours a week - Gymnastics training, Monday lunchtime club, Mentoring/coaching for children with behavioural/self-esteem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4,043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Y6 Booster swimming lessons for those not yet able to swim 25m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Future Stars lunchtime coaching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2850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Walk or Wheel raffle prizes 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Targeted sessions to encourage inactive/semi-sporty children to participate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1500</w:t>
            </w:r>
          </w:p>
        </w:tc>
      </w:tr>
      <w:tr w:rsidR="006D303D" w:rsidTr="006D303D">
        <w:trPr>
          <w:trHeight w:val="973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  <w:t>KPI2 - The profile of PESSPA being raised across the school as a tool for whole school improvemen</w:t>
            </w: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Inspirational adults, coaching and resources for HSW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Inspirational adults for International Women's Day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Dance festival for Y2 - Weston Playhouse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School Games Week  Medals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6D303D" w:rsidTr="006D303D">
        <w:trPr>
          <w:trHeight w:val="973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  <w:t>KPI3: Increased confidence, knowledge and skills of all staff in teaching PE and sport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Legacy project - Dance? - Future Stars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CPD Workshops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2000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  <w:t>KPI 4: Broader experience of a range of sports and activities offered to all pupils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Update and replenishing of equipment as necessary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b/>
                <w:bCs/>
                <w:color w:val="000000"/>
                <w:sz w:val="20"/>
                <w:szCs w:val="20"/>
                <w:lang w:eastAsia="en-GB"/>
              </w:rPr>
              <w:t>KPI5: Increased participation in competitive sport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NSSPEA membership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1200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 xml:space="preserve">Gordano legacy Cluster membership 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6D303D" w:rsidTr="006D303D">
        <w:trPr>
          <w:trHeight w:val="509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Supply teachers to release teachers for events 24 events x £90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2160</w:t>
            </w:r>
          </w:p>
        </w:tc>
      </w:tr>
      <w:tr w:rsidR="006D303D" w:rsidTr="006D303D">
        <w:trPr>
          <w:trHeight w:val="486"/>
        </w:trPr>
        <w:tc>
          <w:tcPr>
            <w:tcW w:w="7403" w:type="dxa"/>
            <w:vAlign w:val="bottom"/>
          </w:tcPr>
          <w:p w:rsidR="006D303D" w:rsidRPr="00C7321E" w:rsidRDefault="006D303D" w:rsidP="006D303D">
            <w:pPr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vAlign w:val="bottom"/>
          </w:tcPr>
          <w:p w:rsidR="006D303D" w:rsidRPr="00C7321E" w:rsidRDefault="006D303D" w:rsidP="006D303D">
            <w:pPr>
              <w:jc w:val="right"/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</w:pPr>
            <w:r w:rsidRPr="00C7321E">
              <w:rPr>
                <w:rFonts w:ascii="Twinkl Cursive Unlooped" w:eastAsia="Times New Roman" w:hAnsi="Twinkl Cursive Unlooped" w:cs="Calibri"/>
                <w:color w:val="000000"/>
                <w:sz w:val="20"/>
                <w:szCs w:val="20"/>
                <w:lang w:eastAsia="en-GB"/>
              </w:rPr>
              <w:t>20,478</w:t>
            </w:r>
          </w:p>
        </w:tc>
      </w:tr>
    </w:tbl>
    <w:p w:rsidR="006D303D" w:rsidRDefault="006D303D" w:rsidP="006D303D">
      <w:pPr>
        <w:jc w:val="center"/>
      </w:pPr>
    </w:p>
    <w:p w:rsidR="006D303D" w:rsidRDefault="006D303D" w:rsidP="006D303D">
      <w:pPr>
        <w:jc w:val="center"/>
      </w:pPr>
      <w:r>
        <w:t>Deficit of £278 to be covered from PE Budget.</w:t>
      </w:r>
      <w:bookmarkStart w:id="0" w:name="_GoBack"/>
      <w:bookmarkEnd w:id="0"/>
    </w:p>
    <w:sectPr w:rsidR="006D303D" w:rsidSect="006D303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3D"/>
    <w:rsid w:val="006D303D"/>
    <w:rsid w:val="007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FEA4"/>
  <w15:chartTrackingRefBased/>
  <w15:docId w15:val="{06A45D44-9845-4AA6-B8A3-BE4E70D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2019-09-10T10:50:00Z</dcterms:created>
  <dcterms:modified xsi:type="dcterms:W3CDTF">2019-09-10T10:54:00Z</dcterms:modified>
</cp:coreProperties>
</file>